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BC0F2" w14:textId="77777777" w:rsidR="00EF4535" w:rsidRPr="006A1B6B" w:rsidRDefault="00EF4535" w:rsidP="00EF4535">
      <w:pPr>
        <w:spacing w:line="360" w:lineRule="auto"/>
        <w:rPr>
          <w:rFonts w:ascii="Times New Roman" w:hAnsi="Times New Roman" w:cs="Times New Roman"/>
          <w:szCs w:val="21"/>
        </w:rPr>
      </w:pPr>
      <w:r w:rsidRPr="006A1B6B">
        <w:rPr>
          <w:rFonts w:ascii="Times New Roman" w:hAnsi="Times New Roman" w:cs="Times New Roman"/>
          <w:noProof/>
          <w:szCs w:val="21"/>
        </w:rPr>
        <w:drawing>
          <wp:inline distT="0" distB="0" distL="0" distR="0" wp14:anchorId="61D797CC" wp14:editId="26E761ED">
            <wp:extent cx="5263515" cy="3156585"/>
            <wp:effectExtent l="0" t="0" r="0"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63515" cy="3156585"/>
                    </a:xfrm>
                    <a:prstGeom prst="rect">
                      <a:avLst/>
                    </a:prstGeom>
                    <a:noFill/>
                    <a:ln>
                      <a:noFill/>
                    </a:ln>
                  </pic:spPr>
                </pic:pic>
              </a:graphicData>
            </a:graphic>
          </wp:inline>
        </w:drawing>
      </w:r>
    </w:p>
    <w:p w14:paraId="2B7678C6" w14:textId="6EAAA083" w:rsidR="005E6809" w:rsidRPr="00EF4535" w:rsidRDefault="00EF4535" w:rsidP="00EF4535">
      <w:pPr>
        <w:spacing w:line="360" w:lineRule="auto"/>
        <w:rPr>
          <w:rFonts w:ascii="Times New Roman" w:hAnsi="Times New Roman" w:cs="Times New Roman" w:hint="eastAsia"/>
          <w:szCs w:val="21"/>
        </w:rPr>
      </w:pPr>
      <w:r w:rsidRPr="006A1B6B">
        <w:rPr>
          <w:rFonts w:ascii="Times New Roman" w:hAnsi="Times New Roman" w:cs="Times New Roman"/>
          <w:b/>
          <w:bCs/>
          <w:szCs w:val="21"/>
        </w:rPr>
        <w:t>Figure 5.</w:t>
      </w:r>
      <w:r w:rsidRPr="006A1B6B">
        <w:rPr>
          <w:rFonts w:ascii="Times New Roman" w:hAnsi="Times New Roman" w:cs="Times New Roman"/>
          <w:szCs w:val="21"/>
        </w:rPr>
        <w:t xml:space="preserve"> The effect of covariates on CL of </w:t>
      </w:r>
      <w:proofErr w:type="spellStart"/>
      <w:r w:rsidRPr="006A1B6B">
        <w:rPr>
          <w:rFonts w:ascii="Times New Roman" w:hAnsi="Times New Roman" w:cs="Times New Roman"/>
          <w:szCs w:val="21"/>
        </w:rPr>
        <w:t>caspofungin</w:t>
      </w:r>
      <w:proofErr w:type="spellEnd"/>
      <w:r w:rsidRPr="006A1B6B">
        <w:rPr>
          <w:rFonts w:ascii="Times New Roman" w:hAnsi="Times New Roman" w:cs="Times New Roman"/>
          <w:szCs w:val="21"/>
        </w:rPr>
        <w:t xml:space="preserve"> in included studies. Covariate effect on the clearance of </w:t>
      </w:r>
      <w:proofErr w:type="spellStart"/>
      <w:r w:rsidRPr="006A1B6B">
        <w:rPr>
          <w:rFonts w:ascii="Times New Roman" w:hAnsi="Times New Roman" w:cs="Times New Roman"/>
          <w:szCs w:val="21"/>
        </w:rPr>
        <w:t>caspofungin</w:t>
      </w:r>
      <w:proofErr w:type="spellEnd"/>
      <w:r w:rsidRPr="006A1B6B">
        <w:rPr>
          <w:rFonts w:ascii="Times New Roman" w:hAnsi="Times New Roman" w:cs="Times New Roman"/>
          <w:szCs w:val="21"/>
        </w:rPr>
        <w:t xml:space="preserve">. The horizontal bars represent the covariate effect on clearance in each study. The typical value of clearance in each study </w:t>
      </w:r>
      <w:proofErr w:type="gramStart"/>
      <w:r w:rsidRPr="006A1B6B">
        <w:rPr>
          <w:rFonts w:ascii="Times New Roman" w:hAnsi="Times New Roman" w:cs="Times New Roman"/>
          <w:szCs w:val="21"/>
        </w:rPr>
        <w:t>was considered to be</w:t>
      </w:r>
      <w:proofErr w:type="gramEnd"/>
      <w:r w:rsidRPr="006A1B6B">
        <w:rPr>
          <w:rFonts w:ascii="Times New Roman" w:hAnsi="Times New Roman" w:cs="Times New Roman"/>
          <w:szCs w:val="21"/>
        </w:rPr>
        <w:t xml:space="preserve"> 1. The effect of each covariate for clearance is displayed by the ratio of clearance in the range of each covariate to the typical clearance value. The shaded area ranges from 0.8 to 1.25. </w:t>
      </w:r>
      <w:proofErr w:type="spellStart"/>
      <w:r w:rsidRPr="006A1B6B">
        <w:rPr>
          <w:rFonts w:ascii="Times New Roman" w:hAnsi="Times New Roman" w:cs="Times New Roman"/>
          <w:szCs w:val="21"/>
        </w:rPr>
        <w:t>BSA</w:t>
      </w:r>
      <w:proofErr w:type="spellEnd"/>
      <w:r w:rsidRPr="006A1B6B">
        <w:rPr>
          <w:rFonts w:ascii="Times New Roman" w:hAnsi="Times New Roman" w:cs="Times New Roman"/>
          <w:szCs w:val="21"/>
        </w:rPr>
        <w:t xml:space="preserve">: body surface area; ALB: albumin; </w:t>
      </w:r>
      <w:proofErr w:type="spellStart"/>
      <w:r w:rsidRPr="006A1B6B">
        <w:rPr>
          <w:rFonts w:ascii="Times New Roman" w:hAnsi="Times New Roman" w:cs="Times New Roman"/>
          <w:szCs w:val="21"/>
        </w:rPr>
        <w:t>TBIL</w:t>
      </w:r>
      <w:proofErr w:type="spellEnd"/>
      <w:r w:rsidRPr="006A1B6B">
        <w:rPr>
          <w:rFonts w:ascii="Times New Roman" w:hAnsi="Times New Roman" w:cs="Times New Roman"/>
          <w:szCs w:val="21"/>
        </w:rPr>
        <w:t>: total bilirubin; AST: aspartate aminotransferase; OPT: operative time.</w:t>
      </w:r>
    </w:p>
    <w:sectPr w:rsidR="005E6809" w:rsidRPr="00EF45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ACE4E" w14:textId="77777777" w:rsidR="00D709F7" w:rsidRDefault="00D709F7" w:rsidP="00EF4535">
      <w:r>
        <w:separator/>
      </w:r>
    </w:p>
  </w:endnote>
  <w:endnote w:type="continuationSeparator" w:id="0">
    <w:p w14:paraId="5039C0B8" w14:textId="77777777" w:rsidR="00D709F7" w:rsidRDefault="00D709F7" w:rsidP="00EF4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D9218" w14:textId="77777777" w:rsidR="00D709F7" w:rsidRDefault="00D709F7" w:rsidP="00EF4535">
      <w:r>
        <w:separator/>
      </w:r>
    </w:p>
  </w:footnote>
  <w:footnote w:type="continuationSeparator" w:id="0">
    <w:p w14:paraId="44F02B61" w14:textId="77777777" w:rsidR="00D709F7" w:rsidRDefault="00D709F7" w:rsidP="00EF45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6B1"/>
    <w:rsid w:val="000366B1"/>
    <w:rsid w:val="003C125B"/>
    <w:rsid w:val="005E6809"/>
    <w:rsid w:val="009C0F2E"/>
    <w:rsid w:val="00D709F7"/>
    <w:rsid w:val="00EF4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A8C06"/>
  <w15:chartTrackingRefBased/>
  <w15:docId w15:val="{7F0332C3-D280-4973-BFC2-F0C0FECCF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45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53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F4535"/>
    <w:rPr>
      <w:sz w:val="18"/>
      <w:szCs w:val="18"/>
    </w:rPr>
  </w:style>
  <w:style w:type="paragraph" w:styleId="a5">
    <w:name w:val="footer"/>
    <w:basedOn w:val="a"/>
    <w:link w:val="a6"/>
    <w:uiPriority w:val="99"/>
    <w:unhideWhenUsed/>
    <w:rsid w:val="00EF4535"/>
    <w:pPr>
      <w:tabs>
        <w:tab w:val="center" w:pos="4153"/>
        <w:tab w:val="right" w:pos="8306"/>
      </w:tabs>
      <w:snapToGrid w:val="0"/>
      <w:jc w:val="left"/>
    </w:pPr>
    <w:rPr>
      <w:sz w:val="18"/>
      <w:szCs w:val="18"/>
    </w:rPr>
  </w:style>
  <w:style w:type="character" w:customStyle="1" w:styleId="a6">
    <w:name w:val="页脚 字符"/>
    <w:basedOn w:val="a0"/>
    <w:link w:val="a5"/>
    <w:uiPriority w:val="99"/>
    <w:rsid w:val="00EF45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NUO</dc:creator>
  <cp:keywords/>
  <dc:description/>
  <cp:lastModifiedBy>NUO</cp:lastModifiedBy>
  <cp:revision>2</cp:revision>
  <dcterms:created xsi:type="dcterms:W3CDTF">2023-10-26T06:43:00Z</dcterms:created>
  <dcterms:modified xsi:type="dcterms:W3CDTF">2023-10-26T06:43:00Z</dcterms:modified>
</cp:coreProperties>
</file>