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3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Air</w:t>
      </w:r>
      <w:r>
        <w:t xml:space="preserve"> </w:t>
      </w:r>
      <w:r>
        <w:t xml:space="preserve">Sparging:</w:t>
      </w:r>
      <w:r>
        <w:t xml:space="preserve"> </w:t>
      </w:r>
      <w:r>
        <w:t xml:space="preserve">tecnologia</w:t>
      </w:r>
      <w:r>
        <w:t xml:space="preserve"> </w:t>
      </w:r>
      <w:r>
        <w:t xml:space="preserve">di</w:t>
      </w:r>
      <w:r>
        <w:t xml:space="preserve"> </w:t>
      </w:r>
      <w:r>
        <w:t xml:space="preserve">bonifica</w:t>
      </w:r>
      <w:r>
        <w:t xml:space="preserve"> </w:t>
      </w:r>
      <w:r>
        <w:t xml:space="preserve">in</w:t>
      </w:r>
      <w:r>
        <w:t xml:space="preserve"> </w:t>
      </w:r>
      <w:r>
        <w:t xml:space="preserve">situ</w:t>
      </w:r>
    </w:p>
    <w:p>
      <w:pPr>
        <w:pStyle w:val="Author"/>
      </w:pPr>
      <w:r>
        <w:t xml:space="preserve">Michele</w:t>
      </w:r>
      <w:r>
        <w:t xml:space="preserve"> </w:t>
      </w:r>
      <w:r>
        <w:t xml:space="preserve">Della</w:t>
      </w:r>
      <w:r>
        <w:t xml:space="preserve"> </w:t>
      </w:r>
      <w:r>
        <w:t xml:space="preserve">Pepa</w:t>
      </w:r>
    </w:p>
    <w:p>
      <w:pPr>
        <w:pStyle w:val="Abstract"/>
      </w:pPr>
      <w:r>
        <w:t xml:space="preserve">L’</w:t>
      </w:r>
      <w:r>
        <w:t xml:space="preserve"> </w:t>
      </w:r>
      <w:r>
        <w:t xml:space="preserve">air</w:t>
      </w:r>
      <w:r>
        <w:t xml:space="preserve"> </w:t>
      </w:r>
      <w:r>
        <w:t xml:space="preserve">sparging</w:t>
      </w:r>
      <w:r>
        <w:t xml:space="preserve"> </w:t>
      </w:r>
      <w:r>
        <w:t xml:space="preserve">è</w:t>
      </w:r>
      <w:r>
        <w:t xml:space="preserve"> </w:t>
      </w:r>
      <w:r>
        <w:t xml:space="preserve">una</w:t>
      </w:r>
      <w:r>
        <w:t xml:space="preserve"> </w:t>
      </w:r>
      <w:r>
        <w:t xml:space="preserve">tecnica</w:t>
      </w:r>
      <w:r>
        <w:t xml:space="preserve"> </w:t>
      </w:r>
      <w:r>
        <w:t xml:space="preserve">di</w:t>
      </w:r>
      <w:r>
        <w:t xml:space="preserve"> </w:t>
      </w:r>
      <w:r>
        <w:t xml:space="preserve">bonifica</w:t>
      </w:r>
      <w:r>
        <w:t xml:space="preserve"> </w:t>
      </w:r>
      <w:r>
        <w:t xml:space="preserve">che</w:t>
      </w:r>
      <w:r>
        <w:t xml:space="preserve"> </w:t>
      </w:r>
      <w:r>
        <w:t xml:space="preserve">rientra</w:t>
      </w:r>
      <w:r>
        <w:t xml:space="preserve"> </w:t>
      </w:r>
      <w:r>
        <w:t xml:space="preserve">nelle</w:t>
      </w:r>
      <w:r>
        <w:t xml:space="preserve"> </w:t>
      </w:r>
      <w:r>
        <w:t xml:space="preserve">tecnologie</w:t>
      </w:r>
      <w:r>
        <w:t xml:space="preserve"> </w:t>
      </w:r>
      <w:r>
        <w:t xml:space="preserve">di</w:t>
      </w:r>
      <w:r>
        <w:t xml:space="preserve"> </w:t>
      </w:r>
      <w:r>
        <w:t xml:space="preserve">ventilazione</w:t>
      </w:r>
      <w:r>
        <w:t xml:space="preserve"> </w:t>
      </w:r>
      <w:r>
        <w:t xml:space="preserve">del</w:t>
      </w:r>
      <w:r>
        <w:t xml:space="preserve"> </w:t>
      </w:r>
      <w:r>
        <w:t xml:space="preserve">suolo,</w:t>
      </w:r>
      <w:r>
        <w:t xml:space="preserve"> </w:t>
      </w:r>
      <w:r>
        <w:t xml:space="preserve">si</w:t>
      </w:r>
      <w:r>
        <w:t xml:space="preserve"> </w:t>
      </w:r>
      <w:r>
        <w:t xml:space="preserve">applica</w:t>
      </w:r>
      <w:r>
        <w:t xml:space="preserve"> </w:t>
      </w:r>
      <w:r>
        <w:t xml:space="preserve">in</w:t>
      </w:r>
      <w:r>
        <w:t xml:space="preserve"> </w:t>
      </w:r>
      <w:r>
        <w:t xml:space="preserve">situ</w:t>
      </w:r>
      <w:r>
        <w:t xml:space="preserve"> </w:t>
      </w:r>
      <w:r>
        <w:t xml:space="preserve">ed</w:t>
      </w:r>
      <w:r>
        <w:t xml:space="preserve"> </w:t>
      </w:r>
      <w:r>
        <w:t xml:space="preserve">interessa</w:t>
      </w:r>
      <w:r>
        <w:t xml:space="preserve"> </w:t>
      </w:r>
      <w:r>
        <w:t xml:space="preserve">la</w:t>
      </w:r>
      <w:r>
        <w:t xml:space="preserve"> </w:t>
      </w:r>
      <w:r>
        <w:t xml:space="preserve">zona</w:t>
      </w:r>
      <w:r>
        <w:t xml:space="preserve"> </w:t>
      </w:r>
      <w:r>
        <w:t xml:space="preserve">satura</w:t>
      </w:r>
      <w:r>
        <w:t xml:space="preserve"> </w:t>
      </w:r>
      <w:r>
        <w:t xml:space="preserve">del</w:t>
      </w:r>
      <w:r>
        <w:t xml:space="preserve"> </w:t>
      </w:r>
      <w:r>
        <w:t xml:space="preserve">terreno.</w:t>
      </w:r>
      <w:r>
        <w:t xml:space="preserve"> </w:t>
      </w:r>
      <w:r>
        <w:t xml:space="preserve">Viene</w:t>
      </w:r>
      <w:r>
        <w:t xml:space="preserve"> </w:t>
      </w:r>
      <w:r>
        <w:t xml:space="preserve">utilizzata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rimozione</w:t>
      </w:r>
      <w:r>
        <w:t xml:space="preserve"> </w:t>
      </w:r>
      <w:r>
        <w:t xml:space="preserve">dei</w:t>
      </w:r>
      <w:r>
        <w:t xml:space="preserve"> </w:t>
      </w:r>
      <w:r>
        <w:t xml:space="preserve">composti</w:t>
      </w:r>
      <w:r>
        <w:t xml:space="preserve"> </w:t>
      </w:r>
      <w:r>
        <w:t xml:space="preserve">organici</w:t>
      </w:r>
      <w:r>
        <w:t xml:space="preserve"> </w:t>
      </w:r>
      <w:r>
        <w:t xml:space="preserve">volatili.</w:t>
      </w:r>
      <w:r>
        <w:t xml:space="preserve"> </w:t>
      </w:r>
      <w:r>
        <w:t xml:space="preserve">Il</w:t>
      </w:r>
      <w:r>
        <w:t xml:space="preserve"> </w:t>
      </w:r>
      <w:r>
        <w:t xml:space="preserve">principio</w:t>
      </w:r>
      <w:r>
        <w:t xml:space="preserve"> </w:t>
      </w:r>
      <w:r>
        <w:t xml:space="preserve">di</w:t>
      </w:r>
      <w:r>
        <w:t xml:space="preserve"> </w:t>
      </w:r>
      <w:r>
        <w:t xml:space="preserve">funzionamento</w:t>
      </w:r>
      <w:r>
        <w:t xml:space="preserve"> </w:t>
      </w:r>
      <w:r>
        <w:t xml:space="preserve">si</w:t>
      </w:r>
      <w:r>
        <w:t xml:space="preserve"> </w:t>
      </w:r>
      <w:r>
        <w:t xml:space="preserve">basa</w:t>
      </w:r>
      <w:r>
        <w:t xml:space="preserve"> </w:t>
      </w:r>
      <w:r>
        <w:t xml:space="preserve">sull’</w:t>
      </w:r>
      <w:r>
        <w:t xml:space="preserve"> </w:t>
      </w:r>
      <w:r>
        <w:t xml:space="preserve">iniezione</w:t>
      </w:r>
      <w:r>
        <w:t xml:space="preserve"> </w:t>
      </w:r>
      <w:r>
        <w:t xml:space="preserve">di</w:t>
      </w:r>
      <w:r>
        <w:t xml:space="preserve"> </w:t>
      </w:r>
      <w:r>
        <w:t xml:space="preserve">aria</w:t>
      </w:r>
      <w:r>
        <w:t xml:space="preserve"> </w:t>
      </w:r>
      <w:r>
        <w:t xml:space="preserve">nella</w:t>
      </w:r>
      <w:r>
        <w:t xml:space="preserve"> </w:t>
      </w:r>
      <w:r>
        <w:t xml:space="preserve">zona</w:t>
      </w:r>
      <w:r>
        <w:t xml:space="preserve"> </w:t>
      </w:r>
      <w:r>
        <w:t xml:space="preserve">satura,</w:t>
      </w:r>
      <w:r>
        <w:t xml:space="preserve"> </w:t>
      </w:r>
      <w:r>
        <w:t xml:space="preserve">al</w:t>
      </w:r>
      <w:r>
        <w:t xml:space="preserve"> </w:t>
      </w:r>
      <w:r>
        <w:t xml:space="preserve">di</w:t>
      </w:r>
      <w:r>
        <w:t xml:space="preserve"> </w:t>
      </w:r>
      <w:r>
        <w:t xml:space="preserve">sotto</w:t>
      </w:r>
      <w:r>
        <w:t xml:space="preserve"> </w:t>
      </w:r>
      <w:r>
        <w:t xml:space="preserve">della</w:t>
      </w:r>
      <w:r>
        <w:t xml:space="preserve"> </w:t>
      </w:r>
      <w:r>
        <w:t xml:space="preserve">zona</w:t>
      </w:r>
      <w:r>
        <w:t xml:space="preserve"> </w:t>
      </w:r>
      <w:r>
        <w:t xml:space="preserve">contaminata,</w:t>
      </w:r>
      <w:r>
        <w:t xml:space="preserve"> </w:t>
      </w:r>
      <w:r>
        <w:t xml:space="preserve">in</w:t>
      </w:r>
      <w:r>
        <w:t xml:space="preserve"> </w:t>
      </w:r>
      <w:r>
        <w:t xml:space="preserve">maniera</w:t>
      </w:r>
      <w:r>
        <w:t xml:space="preserve"> </w:t>
      </w:r>
      <w:r>
        <w:t xml:space="preserve">tale</w:t>
      </w:r>
      <w:r>
        <w:t xml:space="preserve"> </w:t>
      </w:r>
      <w:r>
        <w:t xml:space="preserve">da</w:t>
      </w:r>
      <w:r>
        <w:t xml:space="preserve"> </w:t>
      </w:r>
      <w:r>
        <w:t xml:space="preserve">mobilitare</w:t>
      </w:r>
      <w:r>
        <w:t xml:space="preserve"> </w:t>
      </w:r>
      <w:r>
        <w:t xml:space="preserve">i</w:t>
      </w:r>
      <w:r>
        <w:t xml:space="preserve"> </w:t>
      </w:r>
      <w:r>
        <w:t xml:space="preserve">composti</w:t>
      </w:r>
      <w:r>
        <w:t xml:space="preserve"> </w:t>
      </w:r>
      <w:r>
        <w:t xml:space="preserve">volatili</w:t>
      </w:r>
      <w:r>
        <w:t xml:space="preserve"> </w:t>
      </w:r>
      <w:r>
        <w:t xml:space="preserve">che</w:t>
      </w:r>
      <w:r>
        <w:t xml:space="preserve"> </w:t>
      </w:r>
      <w:r>
        <w:t xml:space="preserve">vengono</w:t>
      </w:r>
      <w:r>
        <w:t xml:space="preserve"> </w:t>
      </w:r>
      <w:r>
        <w:t xml:space="preserve">poi</w:t>
      </w:r>
      <w:r>
        <w:t xml:space="preserve"> </w:t>
      </w:r>
      <w:r>
        <w:t xml:space="preserve">intercettati</w:t>
      </w:r>
      <w:r>
        <w:t xml:space="preserve"> </w:t>
      </w:r>
      <w:r>
        <w:t xml:space="preserve">nella</w:t>
      </w:r>
      <w:r>
        <w:t xml:space="preserve"> </w:t>
      </w:r>
      <w:r>
        <w:t xml:space="preserve">zona</w:t>
      </w:r>
      <w:r>
        <w:t xml:space="preserve"> </w:t>
      </w:r>
      <w:r>
        <w:t xml:space="preserve">parzialmente</w:t>
      </w:r>
      <w:r>
        <w:t xml:space="preserve"> </w:t>
      </w:r>
      <w:r>
        <w:t xml:space="preserve">satura</w:t>
      </w:r>
      <w:r>
        <w:t xml:space="preserve"> </w:t>
      </w:r>
      <w:r>
        <w:t xml:space="preserve">attraverso</w:t>
      </w:r>
      <w:r>
        <w:t xml:space="preserve"> </w:t>
      </w:r>
      <w:r>
        <w:t xml:space="preserve">dei</w:t>
      </w:r>
      <w:r>
        <w:t xml:space="preserve"> </w:t>
      </w:r>
      <w:r>
        <w:t xml:space="preserve">sistemi</w:t>
      </w:r>
      <w:r>
        <w:t xml:space="preserve"> </w:t>
      </w:r>
      <w:r>
        <w:t xml:space="preserve">di</w:t>
      </w:r>
      <w:r>
        <w:t xml:space="preserve"> </w:t>
      </w:r>
      <w:r>
        <w:t xml:space="preserve">Soil</w:t>
      </w:r>
      <w:r>
        <w:t xml:space="preserve"> </w:t>
      </w:r>
      <w:r>
        <w:t xml:space="preserve">Vapor</w:t>
      </w:r>
      <w:r>
        <w:t xml:space="preserve"> </w:t>
      </w:r>
      <w:r>
        <w:t xml:space="preserve">Extraction.</w:t>
      </w:r>
      <w:r>
        <w:t xml:space="preserve"> </w:t>
      </w:r>
      <w:r>
        <w:t xml:space="preserve">Obiettivo</w:t>
      </w:r>
      <w:r>
        <w:t xml:space="preserve"> </w:t>
      </w:r>
      <w:r>
        <w:t xml:space="preserve">del</w:t>
      </w:r>
      <w:r>
        <w:t xml:space="preserve"> </w:t>
      </w:r>
      <w:r>
        <w:t xml:space="preserve">lavoro</w:t>
      </w:r>
      <w:r>
        <w:t xml:space="preserve"> </w:t>
      </w:r>
      <w:r>
        <w:t xml:space="preserve">in</w:t>
      </w:r>
      <w:r>
        <w:t xml:space="preserve"> </w:t>
      </w:r>
      <w:r>
        <w:t xml:space="preserve">presentazione</w:t>
      </w:r>
      <w:r>
        <w:t xml:space="preserve"> </w:t>
      </w:r>
      <w:r>
        <w:t xml:space="preserve">è</w:t>
      </w:r>
      <w:r>
        <w:t xml:space="preserve"> </w:t>
      </w:r>
      <w:r>
        <w:t xml:space="preserve">quello</w:t>
      </w:r>
      <w:r>
        <w:t xml:space="preserve"> </w:t>
      </w:r>
      <w:r>
        <w:t xml:space="preserve">di</w:t>
      </w:r>
      <w:r>
        <w:t xml:space="preserve"> </w:t>
      </w:r>
      <w:r>
        <w:t xml:space="preserve">mettere</w:t>
      </w:r>
      <w:r>
        <w:t xml:space="preserve"> </w:t>
      </w:r>
      <w:r>
        <w:t xml:space="preserve">in</w:t>
      </w:r>
      <w:r>
        <w:t xml:space="preserve"> </w:t>
      </w:r>
      <w:r>
        <w:t xml:space="preserve">evidenza</w:t>
      </w:r>
      <w:r>
        <w:t xml:space="preserve"> </w:t>
      </w:r>
      <w:r>
        <w:t xml:space="preserve">le</w:t>
      </w:r>
      <w:r>
        <w:t xml:space="preserve"> </w:t>
      </w:r>
      <w:r>
        <w:t xml:space="preserve">caratteristiche</w:t>
      </w:r>
      <w:r>
        <w:t xml:space="preserve"> </w:t>
      </w:r>
      <w:r>
        <w:t xml:space="preserve">dell’air</w:t>
      </w:r>
      <w:r>
        <w:t xml:space="preserve"> </w:t>
      </w:r>
      <w:r>
        <w:t xml:space="preserve">sparging</w:t>
      </w:r>
      <w:r>
        <w:t xml:space="preserve"> </w:t>
      </w:r>
      <w:r>
        <w:t xml:space="preserve">prendendo</w:t>
      </w:r>
      <w:r>
        <w:t xml:space="preserve"> </w:t>
      </w:r>
      <w:r>
        <w:t xml:space="preserve">a</w:t>
      </w:r>
      <w:r>
        <w:t xml:space="preserve"> </w:t>
      </w:r>
      <w:r>
        <w:t xml:space="preserve">riferimento</w:t>
      </w:r>
      <w:r>
        <w:t xml:space="preserve"> </w:t>
      </w:r>
      <w:r>
        <w:t xml:space="preserve">un’applicazione</w:t>
      </w:r>
      <w:r>
        <w:t xml:space="preserve"> </w:t>
      </w:r>
      <w:r>
        <w:t xml:space="preserve">a</w:t>
      </w:r>
      <w:r>
        <w:t xml:space="preserve"> </w:t>
      </w:r>
      <w:r>
        <w:t xml:space="preserve">scala</w:t>
      </w:r>
      <w:r>
        <w:t xml:space="preserve"> </w:t>
      </w:r>
      <w:r>
        <w:t xml:space="preserve">reale</w:t>
      </w:r>
      <w:r>
        <w:t xml:space="preserve"> </w:t>
      </w:r>
      <w:r>
        <w:t xml:space="preserve">di</w:t>
      </w:r>
      <w:r>
        <w:t xml:space="preserve"> </w:t>
      </w:r>
      <w:r>
        <w:t xml:space="preserve">tale</w:t>
      </w:r>
      <w:r>
        <w:t xml:space="preserve"> </w:t>
      </w:r>
      <w:r>
        <w:t xml:space="preserve">tecnologia.</w:t>
      </w:r>
    </w:p>
    <w:p>
      <w:pPr>
        <w:pStyle w:val="Heading1"/>
      </w:pPr>
      <w:bookmarkStart w:id="21" w:name="tecnica-di-bonifica-in-situ-air-sparging"/>
      <w:bookmarkEnd w:id="21"/>
      <w:r>
        <w:t xml:space="preserve">Tecnica di bonifica in situ: Air</w:t>
      </w:r>
      <w:r>
        <w:t xml:space="preserve"> </w:t>
      </w:r>
      <w:r>
        <w:t xml:space="preserve">Sparging</w:t>
      </w:r>
    </w:p>
    <w:p>
      <w:pPr>
        <w:pStyle w:val="FirstParagraph"/>
      </w:pPr>
      <w:r>
        <w:t xml:space="preserve">L’air</w:t>
      </w:r>
      <w:r>
        <w:rPr>
          <w:b/>
        </w:rPr>
        <w:t xml:space="preserve"> </w:t>
      </w:r>
      <w:r>
        <w:t xml:space="preserve">sparging è una tecnica utilizzata </w:t>
      </w:r>
      <w:r>
        <w:rPr>
          <w:i/>
        </w:rPr>
        <w:t xml:space="preserve">in situ</w:t>
      </w:r>
      <w:r>
        <w:t xml:space="preserve"> per la</w:t>
      </w:r>
      <w:r>
        <w:t xml:space="preserve"> </w:t>
      </w:r>
      <w:r>
        <w:t xml:space="preserve">bonifica dei terreni e delle falde acquifere contaminate da idrocarburi,</w:t>
      </w:r>
      <w:r>
        <w:t xml:space="preserve"> </w:t>
      </w:r>
      <w:r>
        <w:t xml:space="preserve">tipicamente in fase liquida, mediante l’immissione d’aria in pressione</w:t>
      </w:r>
      <w:r>
        <w:t xml:space="preserve"> </w:t>
      </w:r>
      <w:r>
        <w:t xml:space="preserve">su pozzi trivellati nella zona contaminata. L’aria viene iniettata nella</w:t>
      </w:r>
      <w:r>
        <w:t xml:space="preserve"> </w:t>
      </w:r>
      <w:r>
        <w:t xml:space="preserve">zona satura, al di sotto della zona contaminata, in maniera tale da</w:t>
      </w:r>
      <w:r>
        <w:t xml:space="preserve"> </w:t>
      </w:r>
      <w:r>
        <w:t xml:space="preserve">mobilitare i composti volatili che vengono poi intercettati nella zona</w:t>
      </w:r>
      <w:r>
        <w:t xml:space="preserve"> </w:t>
      </w:r>
      <w:r>
        <w:t xml:space="preserve">parzialmente satura attraverso dei sistemi di Soil Vapor Extraction. Le</w:t>
      </w:r>
      <w:r>
        <w:t xml:space="preserve"> </w:t>
      </w:r>
      <w:r>
        <w:t xml:space="preserve">correnti esauste così intercettate, vengono convogliate e avviate ai</w:t>
      </w:r>
      <w:r>
        <w:t xml:space="preserve"> </w:t>
      </w:r>
      <w:r>
        <w:t xml:space="preserve">sistemi di trattamento prima dell’immissione in atmosfera. L’air</w:t>
      </w:r>
      <w:r>
        <w:t xml:space="preserve"> </w:t>
      </w:r>
      <w:r>
        <w:t xml:space="preserve">sparging si applica generalmente ai costituenti del gasolio più leggeri</w:t>
      </w:r>
      <w:r>
        <w:t xml:space="preserve"> </w:t>
      </w:r>
      <w:r>
        <w:t xml:space="preserve">(BTEX), perché passano prontamente dalla fase disciolta a quella</w:t>
      </w:r>
      <w:r>
        <w:t xml:space="preserve"> </w:t>
      </w:r>
      <w:r>
        <w:t xml:space="preserve">gassosa </w:t>
      </w:r>
      <w:r>
        <w:rPr>
          <w:vertAlign w:val="superscript"/>
        </w:rPr>
        <w:t xml:space="preserve">1,2,3,4</w:t>
      </w:r>
      <w:r>
        <w:t xml:space="preserve"> </w:t>
      </w:r>
    </w:p>
    <w:p>
      <w:pPr>
        <w:pStyle w:val="BodyText"/>
      </w:pPr>
      <w:r>
        <w:t xml:space="preserve">L’applicabilità del processo è legata alla permeabilità del sottosuolo,</w:t>
      </w:r>
      <w:r>
        <w:t xml:space="preserve"> </w:t>
      </w:r>
      <w:r>
        <w:t xml:space="preserve">che influenza la diffusione dell’aria e la partizione tra fase vapore e</w:t>
      </w:r>
      <w:r>
        <w:t xml:space="preserve"> </w:t>
      </w:r>
      <w:r>
        <w:t xml:space="preserve">fase disciolta che regola la distribuzione del contaminante e fornisce</w:t>
      </w:r>
      <w:r>
        <w:t xml:space="preserve"> </w:t>
      </w:r>
      <w:r>
        <w:t xml:space="preserve">un’indicazione sulla tendenza di quel contaminante a rimanere presente</w:t>
      </w:r>
      <w:r>
        <w:t xml:space="preserve"> </w:t>
      </w:r>
      <w:r>
        <w:t xml:space="preserve">in fase disciolta piuttosto che a passare in fase vapore. All’aumentare</w:t>
      </w:r>
      <w:r>
        <w:t xml:space="preserve"> </w:t>
      </w:r>
      <w:r>
        <w:t xml:space="preserve">della permeabilità e all’aumentare della partizione aumentano le</w:t>
      </w:r>
      <w:r>
        <w:t xml:space="preserve"> </w:t>
      </w:r>
      <w:r>
        <w:t xml:space="preserve">possibilità di un’efficace applicazione di questa tecnologia.</w:t>
      </w:r>
    </w:p>
    <w:p>
      <w:pPr>
        <w:pStyle w:val="BodyText"/>
      </w:pPr>
      <w:r>
        <w:t xml:space="preserve">Altro parametro che influenza l’efficacia dell’air sparging è la</w:t>
      </w:r>
      <w:r>
        <w:t xml:space="preserve"> </w:t>
      </w:r>
      <w:r>
        <w:t xml:space="preserve">concentrazione di ferro in falda, in quanto il ferro disciolto viene</w:t>
      </w:r>
      <w:r>
        <w:t xml:space="preserve"> </w:t>
      </w:r>
      <w:r>
        <w:t xml:space="preserve">ossidato e può formare dei precipitatati che vanno a ridurre la</w:t>
      </w:r>
      <w:r>
        <w:t xml:space="preserve"> </w:t>
      </w:r>
      <w:r>
        <w:t xml:space="preserve">permeabilità. In genere, concentrazioni di ferro bivalente inferiore a</w:t>
      </w:r>
      <w:r>
        <w:t xml:space="preserve"> </w:t>
      </w:r>
      <w:r>
        <w:t xml:space="preserve">mg/l non creano questi problemi, all’aumentare della concentrazione,</w:t>
      </w:r>
      <w:r>
        <w:t xml:space="preserve"> </w:t>
      </w:r>
      <w:r>
        <w:t xml:space="preserve">l’efficacia dell’Air Sparging si riduce con rese praticamente nulle per</w:t>
      </w:r>
      <w:r>
        <w:t xml:space="preserve"> </w:t>
      </w:r>
      <w:r>
        <w:t xml:space="preserve">valori della concentrazione di ferro disciolto maggiori di 20 mg/l.</w:t>
      </w:r>
    </w:p>
    <w:p>
      <w:pPr>
        <w:pStyle w:val="BodyText"/>
      </w:pPr>
      <w:r>
        <w:t xml:space="preserve">Fondamentali sono anche i parametri relativi ai contaminanti da</w:t>
      </w:r>
      <w:r>
        <w:t xml:space="preserve"> </w:t>
      </w:r>
      <w:r>
        <w:t xml:space="preserve">trattare, in particolare si dovrà tenere conto della costante di Henry (</w:t>
      </w:r>
      <w:r>
        <w:t xml:space="preserve"> </w:t>
      </w:r>
      <w:r>
        <w:t xml:space="preserve">&gt; 100 atm), pressione di vapore ( &gt; 0.5 mmHG),</w:t>
      </w:r>
      <w:r>
        <w:t xml:space="preserve"> </w:t>
      </w:r>
      <w:r>
        <w:t xml:space="preserve">punto di ebollizione ( &lt; 200 – 300 °C )</w:t>
      </w:r>
    </w:p>
    <w:p>
      <w:pPr>
        <w:pStyle w:val="BodyText"/>
      </w:pPr>
      <w:r>
        <w:t xml:space="preserve">Passando alla fase di progetto, i parametri da valutare sono: 1) raggio</w:t>
      </w:r>
      <w:r>
        <w:t xml:space="preserve"> </w:t>
      </w:r>
      <w:r>
        <w:t xml:space="preserve">d’influenza, nel momento in cui viene iniettata aria nella zona</w:t>
      </w:r>
      <w:r>
        <w:t xml:space="preserve"> </w:t>
      </w:r>
      <w:r>
        <w:t xml:space="preserve">parzialmente satura, l’iniezione di aria determina un raggio di</w:t>
      </w:r>
      <w:r>
        <w:t xml:space="preserve"> </w:t>
      </w:r>
      <w:r>
        <w:t xml:space="preserve">influenza sia nella zona satura che nella zona parzialmente satura, 2)</w:t>
      </w:r>
      <w:r>
        <w:t xml:space="preserve"> </w:t>
      </w:r>
      <w:r>
        <w:t xml:space="preserve">portata d’aria e pressione di iniezione, determinate attraverso delle</w:t>
      </w:r>
      <w:r>
        <w:t xml:space="preserve"> </w:t>
      </w:r>
      <w:r>
        <w:t xml:space="preserve">prove a scala pilota, in genere l’ordine di grandezza della portata del</w:t>
      </w:r>
      <w:r>
        <w:t xml:space="preserve"> </w:t>
      </w:r>
      <w:r>
        <w:t xml:space="preserve">pozzo è tra 1 e 10 l/s; mentre per la pressione di iniezione essa sarà</w:t>
      </w:r>
      <w:r>
        <w:t xml:space="preserve"> </w:t>
      </w:r>
      <w:r>
        <w:t xml:space="preserve">contenuta in un range che è funzione delle caratteristiche del terreno</w:t>
      </w:r>
      <w:r>
        <w:t xml:space="preserve"> </w:t>
      </w:r>
      <w:r>
        <w:t xml:space="preserve">3) orientamento e caratteristiche dei pozzi, i quali possono avere due</w:t>
      </w:r>
      <w:r>
        <w:t xml:space="preserve"> </w:t>
      </w:r>
      <w:r>
        <w:t xml:space="preserve">configurazioni, una verticale, se l’area d’intervento è a profondità</w:t>
      </w:r>
      <w:r>
        <w:t xml:space="preserve"> </w:t>
      </w:r>
      <w:r>
        <w:t xml:space="preserve">maggiore di 7 metri, oppure una configurazione orizzontale per falde</w:t>
      </w:r>
      <w:r>
        <w:t xml:space="preserve"> </w:t>
      </w:r>
      <w:r>
        <w:t xml:space="preserve">superficiali e aree contaminate delimitate da specifiche unità</w:t>
      </w:r>
      <w:r>
        <w:t xml:space="preserve"> </w:t>
      </w:r>
      <w:r>
        <w:t xml:space="preserve">stratigrafiche </w:t>
      </w:r>
      <w:r>
        <w:rPr>
          <w:vertAlign w:val="superscript"/>
        </w:rPr>
        <w:t xml:space="preserve">5</w:t>
      </w:r>
      <w:r>
        <w:t xml:space="preserve">. Un ruolo fondamentale è rappresentato</w:t>
      </w:r>
      <w:r>
        <w:t xml:space="preserve"> </w:t>
      </w:r>
      <w:r>
        <w:t xml:space="preserve">anche dal monitoraggio dei parametri misurati nel suolo come la</w:t>
      </w:r>
      <w:r>
        <w:t xml:space="preserve"> </w:t>
      </w:r>
      <w:r>
        <w:t xml:space="preserve">concentrazione di ossigeno disciolto o di anidride carbonica, inoltre</w:t>
      </w:r>
      <w:r>
        <w:t xml:space="preserve"> </w:t>
      </w:r>
      <w:r>
        <w:t xml:space="preserve">studi più recenti hanno permesso di valutare l’attività dell’air</w:t>
      </w:r>
      <w:r>
        <w:t xml:space="preserve"> </w:t>
      </w:r>
      <w:r>
        <w:t xml:space="preserve">sparging tramite elementi già presenti nel sottosuolo ( gas Radon)</w:t>
      </w:r>
      <w:r>
        <w:t xml:space="preserve"> </w:t>
      </w:r>
      <w:r>
        <w:t xml:space="preserve">facilitando il processo di controllo post messa in</w:t>
      </w:r>
      <w:r>
        <w:t xml:space="preserve"> </w:t>
      </w:r>
      <w:r>
        <w:t xml:space="preserve">opera </w:t>
      </w:r>
      <w:r>
        <w:rPr>
          <w:vertAlign w:val="superscript"/>
        </w:rPr>
        <w:t xml:space="preserve">6</w:t>
      </w:r>
      <w:r>
        <w:t xml:space="preserve"> </w:t>
      </w:r>
      <w:r>
        <w:t xml:space="preserve">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2" w:name="bonifica-di-un-acquifero-contaminato"/>
      <w:bookmarkEnd w:id="22"/>
      <w:r>
        <w:t xml:space="preserve">Bonifica di un acquifero</w:t>
      </w:r>
      <w:r>
        <w:t xml:space="preserve"> </w:t>
      </w:r>
      <w:r>
        <w:t xml:space="preserve">contaminato</w:t>
      </w:r>
    </w:p>
    <w:p>
      <w:pPr>
        <w:pStyle w:val="FirstParagraph"/>
      </w:pPr>
      <w:r>
        <w:t xml:space="preserve">Si vuole ora prendere in considerazione un’applicazione a scala reale</w:t>
      </w:r>
      <w:r>
        <w:t xml:space="preserve"> </w:t>
      </w:r>
      <w:r>
        <w:t xml:space="preserve">della tecnica dell’air sparging. Il riferimento, quindi, è uno studio</w:t>
      </w:r>
      <w:r>
        <w:t xml:space="preserve"> </w:t>
      </w:r>
      <w:r>
        <w:t xml:space="preserve">svolto nel 2005 </w:t>
      </w:r>
      <w:r>
        <w:rPr>
          <w:vertAlign w:val="superscript"/>
        </w:rPr>
        <w:t xml:space="preserve">7</w:t>
      </w:r>
      <w:r>
        <w:t xml:space="preserve">. Gli obiettivi di tale studio sono</w:t>
      </w:r>
      <w:r>
        <w:t xml:space="preserve"> </w:t>
      </w:r>
      <w:r>
        <w:t xml:space="preserve">stati: valutare la risposta delle acque sotterranee all’inserimento</w:t>
      </w:r>
      <w:r>
        <w:t xml:space="preserve"> </w:t>
      </w:r>
      <w:r>
        <w:t xml:space="preserve">dell’aria, sviluppare un metodo per definire una frequenza di pulsazione</w:t>
      </w:r>
      <w:r>
        <w:t xml:space="preserve"> </w:t>
      </w:r>
      <w:r>
        <w:t xml:space="preserve">ottimale di immissione di aria, questo passaggio è stato fondamentale</w:t>
      </w:r>
      <w:r>
        <w:t xml:space="preserve"> </w:t>
      </w:r>
      <w:r>
        <w:t xml:space="preserve">per superare problemi legati alle caratteristiche del sottosuolo, infine</w:t>
      </w:r>
      <w:r>
        <w:t xml:space="preserve"> </w:t>
      </w:r>
      <w:r>
        <w:t xml:space="preserve">si è valutata la massa di idrocarburi volatilizzati e biodegradati</w:t>
      </w:r>
      <w:r>
        <w:t xml:space="preserve"> </w:t>
      </w:r>
      <w:r>
        <w:t xml:space="preserve">durante l’applicazione degli impulsi e si sono confrontati tali</w:t>
      </w:r>
      <w:r>
        <w:t xml:space="preserve"> </w:t>
      </w:r>
      <w:r>
        <w:t xml:space="preserve">risultati con quelli ottenuti con la configurazione in continuo.</w:t>
      </w:r>
    </w:p>
    <w:p>
      <w:pPr>
        <w:pStyle w:val="BodyText"/>
      </w:pPr>
      <w:r>
        <w:t xml:space="preserve">Le indagini ambientali partite nel 1995, al seguito della dismissione di</w:t>
      </w:r>
      <w:r>
        <w:t xml:space="preserve"> </w:t>
      </w:r>
      <w:r>
        <w:t xml:space="preserve">un pozzo d’estrazione (fig. 1), hanno determinato la zona da trattare</w:t>
      </w:r>
      <w:r>
        <w:t xml:space="preserve"> </w:t>
      </w:r>
      <w:r>
        <w:t xml:space="preserve">comprendente un acquifero superficiale che si estende dai 4.6 ai 9.1</w:t>
      </w:r>
      <w:r>
        <w:t xml:space="preserve"> </w:t>
      </w:r>
      <w:r>
        <w:t xml:space="preserve">metri di profondità. </w:t>
      </w:r>
    </w:p>
    <w:p>
      <w:pPr>
        <w:pStyle w:val="FigureWithCaption"/>
      </w:pPr>
      <w:r>
        <w:drawing>
          <wp:inline>
            <wp:extent cx="4177492" cy="2786014"/>
            <wp:effectExtent b="0" l="0" r="0" t="0"/>
            <wp:docPr descr="Pozzo di estrazione " title="" id="1" name="Picture"/>
            <a:graphic>
              <a:graphicData uri="http://schemas.openxmlformats.org/drawingml/2006/picture">
                <pic:pic>
                  <pic:nvPicPr>
                    <pic:cNvPr descr="figures/moritz-kindler-c6zi9au0KOc-unsplash/moritz-kindler-c6zi9au0KOc-unsplash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27860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Pozzo di estrazione</w:t>
      </w:r>
      <w:r>
        <w:t xml:space="preserve"> </w:t>
      </w:r>
    </w:p>
    <w:p>
      <w:pPr>
        <w:pStyle w:val="BodyText"/>
      </w:pPr>
      <w:r>
        <w:t xml:space="preserve">Inizialmente furono installati 22 pozzi per il monitoraggio e in seguito</w:t>
      </w:r>
      <w:r>
        <w:t xml:space="preserve"> </w:t>
      </w:r>
      <w:r>
        <w:t xml:space="preserve">nel 2001, se ne sono aggiunti altri 32 che costituiscono il complesso</w:t>
      </w:r>
      <w:r>
        <w:t xml:space="preserve"> </w:t>
      </w:r>
      <w:r>
        <w:t xml:space="preserve">dell’impianto di air sparging.      </w:t>
      </w:r>
    </w:p>
    <w:p>
      <w:pPr>
        <w:pStyle w:val="BodyText"/>
      </w:pPr>
      <w:r>
        <w:t xml:space="preserve">Il sistema di sparging ha funzionato in modalità</w:t>
      </w:r>
      <w:r>
        <w:t xml:space="preserve"> </w:t>
      </w:r>
      <w:r>
        <w:t xml:space="preserve">“</w:t>
      </w:r>
      <w:r>
        <w:t xml:space="preserve">continua</w:t>
      </w:r>
      <w:r>
        <w:t xml:space="preserve">”</w:t>
      </w:r>
      <w:r>
        <w:t xml:space="preserve"> </w:t>
      </w:r>
      <w:r>
        <w:t xml:space="preserve">dal maggio</w:t>
      </w:r>
      <w:r>
        <w:t xml:space="preserve"> </w:t>
      </w:r>
      <w:r>
        <w:t xml:space="preserve">2001 al settembre 2003, iniettando 113 L/min di aria in ogni pozzo. Le</w:t>
      </w:r>
      <w:r>
        <w:t xml:space="preserve"> </w:t>
      </w:r>
      <w:r>
        <w:t xml:space="preserve">analisi delle acque di falda, raccolte in questo periodo, dimostrarono</w:t>
      </w:r>
      <w:r>
        <w:t xml:space="preserve"> </w:t>
      </w:r>
      <w:r>
        <w:t xml:space="preserve">che i valori di concentrazione di BTEX erano ai livelli di pre-avvio</w:t>
      </w:r>
      <w:r>
        <w:t xml:space="preserve"> </w:t>
      </w:r>
      <w:r>
        <w:t xml:space="preserve">dell’impianto (benzene 0.005 mg/l, toluene 0.790 mg/L, ethylbenzene</w:t>
      </w:r>
      <w:r>
        <w:t xml:space="preserve"> </w:t>
      </w:r>
      <w:r>
        <w:t xml:space="preserve">0.074 mg/ L, and xylenes 0.280 mg/L) e anche i dati raccolti dai 5 punti</w:t>
      </w:r>
      <w:r>
        <w:t xml:space="preserve"> </w:t>
      </w:r>
      <w:r>
        <w:t xml:space="preserve">di monitoraggio testimoniavano che i valori di concentrazione di BTEX</w:t>
      </w:r>
      <w:r>
        <w:t xml:space="preserve"> </w:t>
      </w:r>
      <w:r>
        <w:t xml:space="preserve">non erano diminuiti, il sistema di air sparging in continuo non era</w:t>
      </w:r>
      <w:r>
        <w:t xml:space="preserve"> </w:t>
      </w:r>
      <w:r>
        <w:t xml:space="preserve">efficace.</w:t>
      </w:r>
    </w:p>
    <w:p>
      <w:pPr>
        <w:pStyle w:val="BodyText"/>
      </w:pPr>
      <w:r>
        <w:t xml:space="preserve">Nel settembre 2003, quindi, fu spento il sistema per 24 ore, e furono</w:t>
      </w:r>
      <w:r>
        <w:t xml:space="preserve"> </w:t>
      </w:r>
      <w:r>
        <w:t xml:space="preserve">raccolti dati fin quando l’aria intrappolata nella zona satura non</w:t>
      </w:r>
      <w:r>
        <w:t xml:space="preserve"> </w:t>
      </w:r>
      <w:r>
        <w:t xml:space="preserve">fuoriuscì del tutto. Trascorse le 24 ore si riattivò l’iniezione di aria</w:t>
      </w:r>
      <w:r>
        <w:t xml:space="preserve"> </w:t>
      </w:r>
      <w:r>
        <w:t xml:space="preserve">nel sottosuolo fino al raggiungimento delle condizioni stazionarie,</w:t>
      </w:r>
      <w:r>
        <w:t xml:space="preserve"> </w:t>
      </w:r>
      <w:r>
        <w:t xml:space="preserve">determinate misurando le pressioni nella falda, la concentrazione di</w:t>
      </w:r>
      <w:r>
        <w:t xml:space="preserve"> </w:t>
      </w:r>
      <w:r>
        <w:t xml:space="preserve">ossigeno disciolto e di idrocarburi nel soil vapor. Raggiunte queste</w:t>
      </w:r>
      <w:r>
        <w:t xml:space="preserve"> </w:t>
      </w:r>
      <w:r>
        <w:t xml:space="preserve">condizioni si scelse una frequenza di pulsazione e lo sparging fu</w:t>
      </w:r>
      <w:r>
        <w:t xml:space="preserve"> </w:t>
      </w:r>
      <w:r>
        <w:t xml:space="preserve">riavviato, effettuando misure sui campioni a 2, 8 e 12 mesi.</w:t>
      </w:r>
    </w:p>
    <w:p>
      <w:pPr>
        <w:pStyle w:val="BodyText"/>
      </w:pPr>
      <w:r>
        <w:t xml:space="preserve">Gli effetti della nuova configurazione furono ben presto riscontrabili.</w:t>
      </w:r>
      <w:r>
        <w:t xml:space="preserve"> </w:t>
      </w:r>
      <w:r>
        <w:t xml:space="preserve">La maggiore volatilizzazione degli idrocarburi garantita dal sistema</w:t>
      </w:r>
      <w:r>
        <w:t xml:space="preserve"> </w:t>
      </w:r>
      <w:r>
        <w:t xml:space="preserve">pulsante, ebbe come conseguenza la riduzione della concentrazione dei</w:t>
      </w:r>
      <w:r>
        <w:t xml:space="preserve"> </w:t>
      </w:r>
      <w:r>
        <w:t xml:space="preserve">composti inquinanti; anche il contenuto di ossigeno disciolto beneficiò</w:t>
      </w:r>
      <w:r>
        <w:t xml:space="preserve"> </w:t>
      </w:r>
      <w:r>
        <w:t xml:space="preserve">di questa nuova configurazione favorendo l’attività di rimozione</w:t>
      </w:r>
      <w:r>
        <w:t xml:space="preserve"> </w:t>
      </w:r>
      <w:r>
        <w:t xml:space="preserve">biologica , testimoniata dalla crescita della concentrazione di anidride</w:t>
      </w:r>
      <w:r>
        <w:t xml:space="preserve"> </w:t>
      </w:r>
      <w:r>
        <w:t xml:space="preserve">carbonica. L’efficienza di rimozione degli idrocarburi triplicò</w:t>
      </w:r>
      <w:r>
        <w:t xml:space="preserve"> </w:t>
      </w:r>
      <w:r>
        <w:t xml:space="preserve">raggiungendo i 0.58 kg/d per ogni pozzo.</w:t>
      </w:r>
    </w:p>
    <w:p>
      <w:pPr>
        <w:pStyle w:val="Heading1"/>
      </w:pPr>
      <w:bookmarkStart w:id="24" w:name="conclusioni"/>
      <w:bookmarkEnd w:id="24"/>
      <w:r>
        <w:t xml:space="preserve">Conclusioni</w:t>
      </w:r>
    </w:p>
    <w:p>
      <w:pPr>
        <w:pStyle w:val="FirstParagraph"/>
      </w:pPr>
      <w:r>
        <w:t xml:space="preserve">Lo studio, quindi è riuscito a dimostrare che la configurazione con aria</w:t>
      </w:r>
      <w:r>
        <w:t xml:space="preserve"> </w:t>
      </w:r>
      <w:r>
        <w:t xml:space="preserve">pulsata ha favorito la creazione di condizioni di non-equilibrio,</w:t>
      </w:r>
      <w:r>
        <w:t xml:space="preserve"> </w:t>
      </w:r>
      <w:r>
        <w:t xml:space="preserve">migliorando il flusso d’aria in falda, il trasporto chimico di massa e</w:t>
      </w:r>
      <w:r>
        <w:t xml:space="preserve"> </w:t>
      </w:r>
      <w:r>
        <w:t xml:space="preserve">la rimozione di idrocarburi, inoltre, non meno importante si è stimato</w:t>
      </w:r>
      <w:r>
        <w:t xml:space="preserve"> </w:t>
      </w:r>
      <w:r>
        <w:t xml:space="preserve">un risparmio del 30% sui costi energetici di funzionamento</w:t>
      </w:r>
      <w:r>
        <w:t xml:space="preserve"> </w:t>
      </w:r>
      <w:r>
        <w:t xml:space="preserve">dell’impianto.</w:t>
      </w:r>
    </w:p>
    <w:p>
      <w:pPr>
        <w:pStyle w:val="BodyText"/>
      </w:pPr>
      <w:r>
        <w:t xml:space="preserve">In conclusione, si possono riassumere i vantaggi dell’air sparging,</w:t>
      </w:r>
      <w:r>
        <w:t xml:space="preserve"> </w:t>
      </w:r>
      <w:r>
        <w:t xml:space="preserve">evidenziando che questa è una tecnologia di facile installazione e che</w:t>
      </w:r>
      <w:r>
        <w:t xml:space="preserve"> </w:t>
      </w:r>
      <w:r>
        <w:t xml:space="preserve">crea minimi disturbi al sito, è competitiva economicamente e facilmente</w:t>
      </w:r>
      <w:r>
        <w:t xml:space="preserve"> </w:t>
      </w:r>
      <w:r>
        <w:t xml:space="preserve">combinabile con altre attività di bonifica, i punti deboli sono invece</w:t>
      </w:r>
      <w:r>
        <w:t xml:space="preserve"> </w:t>
      </w:r>
      <w:r>
        <w:t xml:space="preserve">legati alle caratteristiche e alle peculiarità dei terreni da trattare. </w:t>
      </w:r>
    </w:p>
    <w:p>
      <w:pPr>
        <w:pStyle w:val="Heading1"/>
      </w:pPr>
      <w:bookmarkStart w:id="25" w:name="references"/>
      <w:bookmarkEnd w:id="25"/>
      <w:r>
        <w:t xml:space="preserve">References</w:t>
      </w:r>
    </w:p>
    <w:p>
      <w:pPr>
        <w:pStyle w:val="FirstParagraph"/>
      </w:pPr>
      <w:r>
        <w:t xml:space="preserve">1.</w:t>
      </w:r>
      <w:r>
        <w:t xml:space="preserve">Evaluation of air sparging and vadose zone aeration for remediation of iron and manganese-impacted groundwater at a closed municipal landfill</w:t>
      </w:r>
      <w:r>
        <w:t xml:space="preserve">.</w:t>
      </w:r>
      <w:r>
        <w:t xml:space="preserve"> </w:t>
      </w:r>
      <w:r>
        <w:rPr>
          <w:i/>
        </w:rPr>
        <w:t xml:space="preserve">Science of The Total Environment</w:t>
      </w:r>
      <w:r>
        <w:t xml:space="preserve"> </w:t>
      </w:r>
      <w:r>
        <w:rPr>
          <w:b/>
        </w:rPr>
        <w:t xml:space="preserve">485-486</w:t>
      </w:r>
      <w:r>
        <w:t xml:space="preserve">, 31–40 (2014).</w:t>
      </w:r>
    </w:p>
    <w:p>
      <w:pPr>
        <w:pStyle w:val="BodyText"/>
      </w:pPr>
      <w:r>
        <w:t xml:space="preserve">2.Leeson, P. C. J. R. J. C. L. B. A.</w:t>
      </w:r>
      <w:r>
        <w:t xml:space="preserve"> </w:t>
      </w:r>
      <w:r>
        <w:t xml:space="preserve">Advances in in situ air sparging/biosparging.</w:t>
      </w:r>
      <w:r>
        <w:t xml:space="preserve">.</w:t>
      </w:r>
      <w:r>
        <w:t xml:space="preserve"> </w:t>
      </w:r>
      <w:r>
        <w:rPr>
          <w:i/>
        </w:rPr>
        <w:t xml:space="preserve">Bioremediation Journal</w:t>
      </w:r>
      <w:r>
        <w:t xml:space="preserve"> </w:t>
      </w:r>
      <w:r>
        <w:rPr>
          <w:b/>
        </w:rPr>
        <w:t xml:space="preserve">5</w:t>
      </w:r>
      <w:r>
        <w:t xml:space="preserve">, (2001).</w:t>
      </w:r>
    </w:p>
    <w:p>
      <w:pPr>
        <w:pStyle w:val="BodyText"/>
      </w:pPr>
      <w:r>
        <w:t xml:space="preserve">3.</w:t>
      </w:r>
      <w:r>
        <w:rPr>
          <w:i/>
        </w:rPr>
        <w:t xml:space="preserve">Engineering and Design: In Situ Air Sparging</w:t>
      </w:r>
      <w:r>
        <w:t xml:space="preserve">.</w:t>
      </w:r>
    </w:p>
    <w:p>
      <w:pPr>
        <w:pStyle w:val="BodyText"/>
      </w:pPr>
      <w:r>
        <w:t xml:space="preserve">4.C. J. Bruell, H. H. H., M. C. Marley.</w:t>
      </w:r>
      <w:r>
        <w:t xml:space="preserve"> </w:t>
      </w:r>
      <w:r>
        <w:t xml:space="preserve">American petroleum institute in situ air sparging database</w:t>
      </w:r>
      <w:r>
        <w:t xml:space="preserve">.</w:t>
      </w:r>
      <w:r>
        <w:t xml:space="preserve"> </w:t>
      </w:r>
      <w:r>
        <w:rPr>
          <w:i/>
        </w:rPr>
        <w:t xml:space="preserve">Journal of Soil Contamination</w:t>
      </w:r>
      <w:r>
        <w:t xml:space="preserve"> </w:t>
      </w:r>
      <w:r>
        <w:rPr>
          <w:b/>
        </w:rPr>
        <w:t xml:space="preserve">6</w:t>
      </w:r>
      <w:r>
        <w:t xml:space="preserve">, 169–185 (1997).</w:t>
      </w:r>
    </w:p>
    <w:p>
      <w:pPr>
        <w:pStyle w:val="BodyText"/>
      </w:pPr>
      <w:r>
        <w:t xml:space="preserve">5.Suthersan, S. S.</w:t>
      </w:r>
      <w:r>
        <w:t xml:space="preserve"> </w:t>
      </w:r>
      <w:r>
        <w:rPr>
          <w:i/>
        </w:rPr>
        <w:t xml:space="preserve">Remediation Engineering: Design Concepts</w:t>
      </w:r>
      <w:r>
        <w:t xml:space="preserve">. (CRC press LLC, 1999).</w:t>
      </w:r>
    </w:p>
    <w:p>
      <w:pPr>
        <w:pStyle w:val="BodyText"/>
      </w:pPr>
      <w:r>
        <w:t xml:space="preserve">6.</w:t>
      </w:r>
      <w:r>
        <w:t xml:space="preserve">Using radon-222 as indicator for the evaluation of the efficiency of groundwater remediation by in situ air sparging</w:t>
      </w:r>
      <w:r>
        <w:t xml:space="preserve">.</w:t>
      </w:r>
      <w:r>
        <w:t xml:space="preserve"> </w:t>
      </w:r>
      <w:r>
        <w:rPr>
          <w:i/>
        </w:rPr>
        <w:t xml:space="preserve">Journal of Environmental Radioactivity</w:t>
      </w:r>
      <w:r>
        <w:t xml:space="preserve"> </w:t>
      </w:r>
      <w:r>
        <w:rPr>
          <w:b/>
        </w:rPr>
        <w:t xml:space="preserve">102</w:t>
      </w:r>
      <w:r>
        <w:t xml:space="preserve">, 193–199 (2011).</w:t>
      </w:r>
    </w:p>
    <w:p>
      <w:pPr>
        <w:pStyle w:val="BodyText"/>
      </w:pPr>
      <w:r>
        <w:t xml:space="preserve">7.</w:t>
      </w:r>
      <w:r>
        <w:t xml:space="preserve">Field Study of Pulsed Air Sparging for Remediation of Petroleum Hydrocarbon Contaminated Soil and Groundwater</w:t>
      </w:r>
      <w:r>
        <w:t xml:space="preserve">.</w:t>
      </w:r>
      <w:r>
        <w:t xml:space="preserve"> </w:t>
      </w:r>
      <w:r>
        <w:rPr>
          <w:i/>
        </w:rPr>
        <w:t xml:space="preserve">Environmental Science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Technology</w:t>
      </w:r>
      <w:r>
        <w:t xml:space="preserve"> </w:t>
      </w:r>
      <w:r>
        <w:rPr>
          <w:b/>
        </w:rPr>
        <w:t xml:space="preserve">39</w:t>
      </w:r>
      <w:r>
        <w:t xml:space="preserve">, 7279–7286 (2005).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9c0d2c18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3" Target="media/rId23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Air Sparging: tecnologia di bonifica in situ</dc:title>
  <dc:creator>Michele Della Pepa</dc:creator>
  <dcterms:created xsi:type="dcterms:W3CDTF">2020-06-28T17:22:27Z</dcterms:created>
  <dcterms:modified xsi:type="dcterms:W3CDTF">2020-06-28T17:22:27Z</dcterms:modified>
</cp:coreProperties>
</file>